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Гастроэнтерология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Гастроэнтерология | Записей: 1 | Кейс: 2 | Вопросов: 12</w:t>
      </w:r>
    </w:p>
    <w:p>
      <w:r>
        <w:br w:type="page"/>
      </w:r>
    </w:p>
    <w:p>
      <w:pPr>
        <w:pStyle w:val="Heading1"/>
      </w:pPr>
      <w:r>
        <w:t>Гастроэнтерология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Гастроэнтерология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С. 34 лет госпитализирована в гастроэнтерологическое отделение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- на схваткообразную боль в правых отделах живота, уменьшающуюся после дефекации</w:t>
      </w:r>
    </w:p>
    <w:p>
      <w:pPr>
        <w:spacing w:after="58"/>
      </w:pPr>
      <w:r>
        <w:rPr>
          <w:b w:val="0"/>
          <w:i w:val="0"/>
        </w:rPr>
        <w:t>- вздутие живота, усиливающееся в течение дня</w:t>
      </w:r>
    </w:p>
    <w:p>
      <w:pPr>
        <w:spacing w:after="58"/>
      </w:pPr>
      <w:r>
        <w:rPr>
          <w:b w:val="0"/>
          <w:i w:val="0"/>
        </w:rPr>
        <w:t>- неоформленный стул до 3-4 раз в день, чаще в первой половине дня, иногда с примесью слизи, гематохезии и ночной диареи нет</w:t>
      </w:r>
    </w:p>
    <w:p>
      <w:pPr>
        <w:spacing w:after="58"/>
      </w:pPr>
      <w:r>
        <w:rPr>
          <w:b w:val="0"/>
          <w:i w:val="0"/>
        </w:rPr>
        <w:t>- жжение в эпигастрии после еды</w:t>
      </w:r>
    </w:p>
    <w:p>
      <w:pPr>
        <w:spacing w:after="58"/>
      </w:pPr>
      <w:r>
        <w:rPr>
          <w:b w:val="0"/>
          <w:i w:val="0"/>
        </w:rPr>
        <w:t>- ощущение переполнения в эпигастрии после еды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Ухудшение самочувствия в виде возникновения жалоб на схваткообразную боль в животе, вздутие живота, неоформленный стул отмечает на протяжении последнего года, начало заболевания связывает с психоэмоциональным стрессом. Около шести месяцев назад присоединились жалобы на жжение в эпигастрии и ощущение переполнения в эпигастрии после еды. Обращалась за медицинской помощью, обследована. Общий, биохимический анализы крови – без существенных отклонений от нормы, по данным УЗИ органов брюшной полости – лабильный перегиб желчного пузыря, по данным ЭГДС - хронический гастродуоденит, тест для определения Helicobacter pylori не проводился. Кишечные инфекции и паразитарные инвазии исключены. Получала лечение обволакивающими препаратами, ферментами – без эффекта, антисекреторными препаратами, спазмолитиками с умеренно выраженным неустойчивым эффектом. После прекращения приема препаратов – жалобы возобновлялись. Течение заболевания волнообразное, с периодами ухудшения самочувствия и ремиссии. Госпитализирована для дообследования и лечения.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- Росла и развивалась нормально</w:t>
      </w:r>
    </w:p>
    <w:p>
      <w:pPr>
        <w:spacing w:after="58"/>
      </w:pPr>
      <w:r>
        <w:rPr>
          <w:b w:val="0"/>
          <w:i w:val="0"/>
        </w:rPr>
        <w:t>- Работает медсестрой</w:t>
      </w:r>
    </w:p>
    <w:p>
      <w:pPr>
        <w:spacing w:after="58"/>
      </w:pPr>
      <w:r>
        <w:rPr>
          <w:b w:val="0"/>
          <w:i w:val="0"/>
        </w:rPr>
        <w:t>- Семейное положение: замужем, детей нет</w:t>
      </w:r>
    </w:p>
    <w:p>
      <w:pPr>
        <w:spacing w:after="58"/>
      </w:pPr>
      <w:r>
        <w:rPr>
          <w:b w:val="0"/>
          <w:i w:val="0"/>
        </w:rPr>
        <w:t>- Наследственность: отец – 58 лет, страдает гипертонической болезнью; мать – 57 лет, здорова; сестра - 31 год, псориаз</w:t>
      </w:r>
    </w:p>
    <w:p>
      <w:pPr>
        <w:spacing w:after="58"/>
      </w:pPr>
      <w:r>
        <w:rPr>
          <w:b w:val="0"/>
          <w:i w:val="0"/>
        </w:rPr>
        <w:t>- Не курит, употребление алкоголя и психоактивных веществ отрицает</w:t>
      </w:r>
    </w:p>
    <w:p>
      <w:pPr>
        <w:spacing w:after="58"/>
      </w:pPr>
      <w:r>
        <w:rPr>
          <w:b w:val="0"/>
          <w:i w:val="0"/>
        </w:rPr>
        <w:t>- Лекарственные средства с настоящий момент не принимает</w:t>
      </w:r>
    </w:p>
    <w:p>
      <w:pPr>
        <w:spacing w:after="58"/>
      </w:pPr>
      <w:r>
        <w:rPr>
          <w:b w:val="0"/>
          <w:i w:val="0"/>
        </w:rPr>
        <w:t>- Гинекологический анамнез: менструации с 13 лет не обильные, по 3 дня, регулярные. Беременностей и родов не было. Гинекологические заболевания отрицает.</w:t>
      </w:r>
    </w:p>
    <w:p>
      <w:pPr>
        <w:spacing w:after="58"/>
      </w:pPr>
      <w:r>
        <w:rPr>
          <w:b w:val="0"/>
          <w:i w:val="0"/>
        </w:rPr>
        <w:t>- Аллергологический 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относительно удовлетворительное. Сознание ясное. Температура тела 36,6°С. Рост 170 см, вес 64 кг. ИМТ= 22,15 кг/м2. Отеков нет. Кожные покровы нормальной окраски и влажности, видимые слизистые не изменены. Дыхание везикулярное, хрипы не выслушиваются. ЧД 16 в минуту. Тоны сердца ритмичны, пульс = ЧСС = 68 ударов в минуту. АД 110 и 80мм рт.ст. Живот в акте дыхания участвует всеми отделами, умеренно вздут, при аускультации выслушивается ослабленная симметричная перистальтика, при перкуссии – тимпанит, при пальпации – определяется болезненность по ходу толстой кишки. Печень, селезенка не увеличены. Симптомов раздражения брюшины нет. Симптом поколачивания отрицательный с обеих сторон. Диурез не изменен.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Лабораторными методами обследования, которые составляют диагностический минимум при наличии симптомов синдрома раздраженного кишечника и отсутствии «симптомов тревоги» считаются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анализ на IgA или IgG к тканевой трансглутаминазе в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определение С-реактивного белка в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общий анализ кала (в том числе реакция кала на скрытую кровь)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общий анализ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определение кальпротектина в кале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определение уровня амилазы в моче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анализ на IgA или IgG к тканевой трансглутаминазе в крови; определение С-реактивного белка в крови; общий анализ кала (в том числе реакция кала на скрытую кровь); общий анализ крови</w:t>
      </w:r>
    </w:p>
    <w:p>
      <w:pPr>
        <w:ind w:left="504"/>
      </w:pPr>
      <w:r>
        <w:rPr>
          <w:b w:val="0"/>
          <w:i/>
        </w:rPr>
        <w:t>Диагностическим минимумом при наличии симптоматики, соответствующей СРК, является определение антител IgA или IgG к тканевой трансглутаминазе и др.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2.2 «Лабораторная диагностика».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Диагностическим минимумом при наличии симптоматики, соответствующей СРК, является определение уровня С-реактивного белка и др.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2.2 «Лабораторная диагностика».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Диагностическим минимумом при наличии симптоматики, соответствующей СРК, является проведение общего анализа кала, теста на скрытую кровь и др.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2.2 «Лабораторная диагностика».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Диагностическим минимумом при наличии симптоматики, соответствующей СРК, является проведение общего анализа крови с определением СОЭ и др.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2.2 «Лабораторная диагностика».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Общий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*Показатель*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*Результат*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*Норма*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 (RBC), *1012/л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*4**,**6*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м. 4,4-5,0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Гемоглобин (Hb), г/л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*131*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м. 130-160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Цветовой показатель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*0,85*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0,8-1,05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Гематокрит (HCT),%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*39,3*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м. 39-49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Тромбоциты (PLT), *109/л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*205*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180-320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Лейкоциты (WBC), *109/л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*6**,**28*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4-9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*Лейкоцитарная формула*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 10*9/л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*4,14*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1,5-7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Базофилы, 10*9/л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*0,01*</w:t>
            </w:r>
          </w:p>
        </w:tc>
      </w:tr>
      <w:tr>
        <w:tc>
          <w:tcPr>
            <w:tcW w:type="dxa" w:w="3408"/>
          </w:tcPr>
          <w:p/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Лимфоциты, 10*9/л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*1,73*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1,0-3,7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Моноциты, 10*9/л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*0,37*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0-0,7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СОЭ, мм/ч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*6*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м. 2-10</w:t>
            </w:r>
          </w:p>
        </w:tc>
        <w:tc>
          <w:tcPr>
            <w:tcW w:type="dxa" w:w="3408"/>
          </w:tcPr>
          <w:p/>
        </w:tc>
        <w:tc>
          <w:tcPr>
            <w:tcW w:type="dxa" w:w="3408"/>
          </w:tcPr>
          <w:p/>
        </w:tc>
      </w:tr>
    </w:tbl>
    <w:p/>
    <w:p>
      <w:pPr>
        <w:pStyle w:val="Heading3"/>
      </w:pPr>
      <w:r>
        <w:t>3.2. Определение С-реактивного белка в крови</w:t>
      </w:r>
    </w:p>
    <w:p>
      <w:pPr>
        <w:spacing w:after="58"/>
      </w:pPr>
      <w:r>
        <w:rPr>
          <w:b w:val="0"/>
          <w:i w:val="0"/>
        </w:rPr>
        <w:t>С-реактивный белок – 0,12 мг/дл (норма 0-0,8 мг/дл)</w:t>
      </w:r>
    </w:p>
    <w:p>
      <w:pPr>
        <w:pStyle w:val="Heading3"/>
      </w:pPr>
      <w:r>
        <w:t>3.3. Общий анализ кала (в том числе реакция кала на скрытую кровь)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*Показатель*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*Результат*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*Нормы*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Цвет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коричневый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коричневый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Консистенция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неоформленный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оформленный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Реакция на билирубин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отрицательная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отрицательная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Реакция на скрытую кровь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отрицательная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отрицательная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Реакция на стеркобилин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положительная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положительная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Слизь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немного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Жир нейтральный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Жирные кислоты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Умеренное количество</w:t>
            </w:r>
          </w:p>
        </w:tc>
        <w:tc>
          <w:tcPr>
            <w:tcW w:type="dxa" w:w="3408"/>
          </w:tcPr>
          <w:p/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Запах кала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Каловый, нерезкий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Каловый, нерезкий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Йодофильная флора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Крахмал (внеклеточный)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немного</w:t>
            </w:r>
          </w:p>
        </w:tc>
        <w:tc>
          <w:tcPr>
            <w:tcW w:type="dxa" w:w="3408"/>
          </w:tcPr>
          <w:p/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Мыла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немного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Мышечные волокна без исчерченности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немного</w:t>
            </w:r>
          </w:p>
        </w:tc>
        <w:tc>
          <w:tcPr>
            <w:tcW w:type="dxa" w:w="3408"/>
          </w:tcPr>
          <w:p/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Мышечные волокна с исчерченностью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немного</w:t>
            </w:r>
          </w:p>
        </w:tc>
        <w:tc>
          <w:tcPr>
            <w:tcW w:type="dxa" w:w="3408"/>
          </w:tcPr>
          <w:p/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Растительная клетчатка непереваримая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немного</w:t>
            </w:r>
          </w:p>
        </w:tc>
        <w:tc>
          <w:tcPr>
            <w:tcW w:type="dxa" w:w="3408"/>
          </w:tcPr>
          <w:p/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Растительная клетчатка переваримая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/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Соединительная ткань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/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Реакция кала на скрытую кровь отрицательная.</w:t>
      </w:r>
    </w:p>
    <w:p>
      <w:pPr>
        <w:pStyle w:val="Heading3"/>
      </w:pPr>
      <w:r>
        <w:t>3.4. Анализ на IgA или IgG к тканевой трансглутаминазе в крови</w:t>
      </w:r>
    </w:p>
    <w:p>
      <w:pPr>
        <w:spacing w:after="58"/>
      </w:pPr>
      <w:r>
        <w:rPr>
          <w:b w:val="0"/>
          <w:i w:val="0"/>
        </w:rPr>
        <w:t>Не обнаружены</w:t>
      </w:r>
    </w:p>
    <w:p>
      <w:pPr>
        <w:pStyle w:val="Heading3"/>
      </w:pPr>
      <w:r>
        <w:t>3.5. Определение кальпротектина в кале</w:t>
      </w:r>
    </w:p>
    <w:p>
      <w:pPr>
        <w:spacing w:after="58"/>
      </w:pPr>
      <w:r>
        <w:rPr>
          <w:b w:val="0"/>
          <w:i w:val="0"/>
        </w:rPr>
        <w:t>Кальпротектин не обнаружен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Данной пациентке показаны инструментальные исследования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ректосигмоколоноскопия с биопсией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ультразвуковое исследование органов брюшной полости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эзофагогастродуоденоскопия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ультразвуковое исследование щитовидной железы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водородный дыхательный тест с лактулозой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мультиспиральная компьютерная томография органов брюшной полости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ректосигмоколоноскопия с биопсией; ультразвуковое исследование органов брюшной полости; эзофагогастродуоденоскопия; водородный дыхательный тест с лактулозой</w:t>
      </w:r>
    </w:p>
    <w:p>
      <w:pPr>
        <w:ind w:left="504"/>
      </w:pPr>
      <w:r>
        <w:rPr>
          <w:b w:val="0"/>
          <w:i/>
        </w:rPr>
        <w:t>СРК целесообразно рассматривать как диагноз исключения, для установления которого необходимо выполнить следующие исследования: колоноскопия с биопсией и др.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2.6 «Алгоритм диагностики».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СРК целесообразно рассматривать как диагноз исключения, для установления которого необходимо выполнить следующие исследования: УЗИ органов брюшной полости и др.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2.6 «Алгоритм диагностики».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СРК целесообразно рассматривать как диагноз исключения, для установления которого необходимо выполнить следующие исследования: эезофагогастродуоденоскопия и др.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2.6 «Алгоритм диагностики».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К основным методам диагностики функциональной диспепсии относят клинический и биохимический анализы крови, анализ кала, гастродуоденоскопию, ультразвуковое исследование (УЗИ), исследование для выявления инфекции, обусловленной H. pylori.</w:t>
        <w:br/>
        <w:br/>
        <w:t>Раздел «Диагноз и дифференциальный диагноз».</w:t>
      </w:r>
    </w:p>
    <w:p>
      <w:pPr>
        <w:ind w:left="504"/>
      </w:pPr>
      <w:r>
        <w:rPr>
          <w:b w:val="0"/>
          <w:i/>
        </w:rPr>
        <w:t>СРК целесообразно рассматривать как диагноз исключения, для установления которого необходимо выполнить следующие исследования: водородный дыхательный тест с глюкозой или лактулозой для выявления СИБР у пациентов с СРК-Д и СРК-М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2.6 «Алгоритм диагностики».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5. Результаты инструментальных методов обследования</w:t>
      </w:r>
    </w:p>
    <w:p>
      <w:pPr>
        <w:pStyle w:val="Heading3"/>
      </w:pPr>
      <w:r>
        <w:t>5.1. Ультразвуковое исследование органов брюшной полости</w:t>
      </w:r>
    </w:p>
    <w:p>
      <w:pPr>
        <w:spacing w:after="58"/>
      </w:pPr>
      <w:r>
        <w:rPr>
          <w:b w:val="0"/>
          <w:i w:val="0"/>
        </w:rPr>
        <w:t>Печень: Контуры четкие, ровные. Размеры не увеличены, левая доля (по средней линии живота) 44 х 92 мм (норма до 60 х 100), правая доля (по среднеключичной линии) 93 х 110 мм (норма до 125 х 145). Эхогенность средняя. Сосудистый рисунок: не изменен. Печеночные вены не расширены, диаметром 8 мм. Очаговые образования не выявлены.</w:t>
      </w:r>
    </w:p>
    <w:p>
      <w:pPr>
        <w:spacing w:after="58"/>
      </w:pPr>
      <w:r>
        <w:rPr>
          <w:b w:val="0"/>
          <w:i w:val="0"/>
        </w:rPr>
        <w:t>Желчный пузырь: Размер средний, 68 х 23 мм; форма – со стойким перегибом в шейке. Толщина стенки не увеличена, 1,5 мм. Пристеночные образования не выявлены. Просвет свободный. Внутрипеченочные желчные протоки: не расширены. Гепатикохоледох: не расширен, 3,8 мм.</w:t>
      </w:r>
    </w:p>
    <w:p>
      <w:pPr>
        <w:spacing w:after="58"/>
      </w:pPr>
      <w:r>
        <w:rPr>
          <w:b w:val="0"/>
          <w:i w:val="0"/>
        </w:rPr>
        <w:t>Поджелудочная железа: контуры четкие, ровные. Размеры не увеличены: головка  24 мм; тело 14 мм; хвост 20 мм. Эхогенность средняя, эхоструктура однородная. Главный панкреатический проток не расширен.</w:t>
      </w:r>
    </w:p>
    <w:p>
      <w:pPr>
        <w:spacing w:after="58"/>
      </w:pPr>
      <w:r>
        <w:rPr>
          <w:b w:val="0"/>
          <w:i w:val="0"/>
        </w:rPr>
        <w:t>Портальная вена– диаметр не изменен, 10,2 мм (норма до 13 мм). Селезеночная вена– диаметр не изменен, в области тела поджелудочной железы 4,6 мм (норма до 8 мм).</w:t>
      </w:r>
    </w:p>
    <w:p>
      <w:pPr>
        <w:spacing w:after="58"/>
      </w:pPr>
      <w:r>
        <w:rPr>
          <w:b w:val="0"/>
          <w:i w:val="0"/>
        </w:rPr>
        <w:t>Селезенка: Размеры не увеличены, 113 х 35 мм; эхоструктура обычная, очаговые изменения отсутствуют. Свободная жидкость в брюшной полости не определяется.</w:t>
      </w:r>
    </w:p>
    <w:p>
      <w:pPr>
        <w:spacing w:after="58"/>
      </w:pPr>
      <w:r>
        <w:rPr>
          <w:b w:val="0"/>
          <w:i w:val="0"/>
        </w:rPr>
        <w:t>Правая почка: положение ниже типичного. Контуры четкие, ровные. Размер не увеличен, 98 х 46 мм. Паренхима – эхогенность нормальная, толщина 15 мм. Кортико-медуллярная дифференцировка сохранена. Синус – эхогенность нормальная. Полостная система не расширена. Очаговые изменения отсутствуют.</w:t>
      </w:r>
    </w:p>
    <w:p>
      <w:pPr>
        <w:spacing w:after="58"/>
      </w:pPr>
      <w:r>
        <w:rPr>
          <w:b w:val="0"/>
          <w:i w:val="0"/>
        </w:rPr>
        <w:t>Левая почка: положение типичное. Контуры четкие, ровные. Размер не увеличен, 96 х 45 мм. Паренхима – эхогенность нормальная, толщина 14 мм. Кортико-медуллярная дифференцировка сохранена. Синус – эхогенность нормальная. Полостная система не расширена. Очаговые изменения отсутствуют.</w:t>
      </w:r>
    </w:p>
    <w:p>
      <w:pPr>
        <w:pStyle w:val="Heading3"/>
      </w:pPr>
      <w:r>
        <w:t>5.2. Эзофагогастродуоденоскопия</w:t>
      </w:r>
    </w:p>
    <w:p>
      <w:pPr>
        <w:spacing w:after="58"/>
      </w:pPr>
      <w:r>
        <w:rPr>
          <w:b w:val="0"/>
          <w:i w:val="0"/>
        </w:rPr>
        <w:t>Осмотр в белом свете и в режиме узкого спектра. Слизистая оболочка пищевода светло-розового цвета. Граница плоского и железистого эпителия располагается на расстоянии 39 см от резцов. Проекция пищеводного отверстия диафрагмы визуализирована на 39 см. Розетка кардии эластичная, смыкается полностью. При осмотре кардии в инверсии складки желудка плотно охватывает эндоскоп. В желудке небольшое количество пенистой жидкости и слизи, стенки эластичные, слизистая оболочка бледно-розовая в области тела желудка и в антральном отделе. Складки большой кривизны мягкие, подвижные, при инсуффляции воздуха расправляются полностью. Перистальтика прослеживается во всех отделах. Кольцо привратника эластичное. Луковица 12п.к. правильной формы, слизистая оболочка ее рыхлая. В постбульбарном отделе 12п.к. слизистая оболочка розовая - Фатеров сосочек визуально не изменен. Быстрый уреазный тест для определения Helicobacter pylori отрицательный.</w:t>
      </w:r>
    </w:p>
    <w:p>
      <w:pPr>
        <w:pStyle w:val="Heading3"/>
      </w:pPr>
      <w:r>
        <w:t>5.3. Ректосигмоколоноскопия с биопсией</w:t>
      </w:r>
    </w:p>
    <w:p>
      <w:pPr>
        <w:spacing w:after="58"/>
      </w:pPr>
      <w:r>
        <w:rPr>
          <w:b w:val="0"/>
          <w:i w:val="0"/>
        </w:rPr>
        <w:t>Осмотр в белом свете и в режиме узкого спектра. Видеоколоноскоп проведен в купол слепой кишки. Баугиниева заслонка губовидной формы, обращена в слепую кишку. Осмотрено 20 см тонкой - подвздошной кишки - слизистая оболочка бархатистая, розовая- Биопсия. Устье червеобразного отростка без отделяемого, без признаков воспаления. Тонус толстой кишки сохранен, нормальный. Перистальтика прослеживается в полном объеме. Просвет кишки на всем протяжении широкий, стенки эластичные, слизистая оболочка бледно-розовая, блестящая, складки и гаустры образуют типичный просвет. Капиллярный рисунок слизистой оболочки соответствует отделам кишки. При осмотре прямой кишки зоны зубчатой линии и нижнеампулярного отдела - неувеличенные геморроидальные вены, слизистая оболочка визуально не изменена. Биопсия из терминального отдела подвздошной кишки, восходящей, нисходящей и сигмовидной кишки.</w:t>
      </w:r>
    </w:p>
    <w:p>
      <w:pPr>
        <w:spacing w:after="58"/>
      </w:pPr>
      <w:r>
        <w:rPr>
          <w:b w:val="0"/>
          <w:i w:val="0"/>
        </w:rPr>
        <w:t>*Заключение:* эндоскопическая картина без патологических изменений в толстой кишке.</w:t>
      </w:r>
    </w:p>
    <w:p>
      <w:pPr>
        <w:spacing w:after="58"/>
      </w:pPr>
      <w:r>
        <w:rPr>
          <w:b w:val="0"/>
          <w:i w:val="0"/>
        </w:rPr>
        <w:t>Гистологическое заключение: патологии в биоптате слизистой оболочки терминального отдела подвздошной кишки, и биоптате слизистой толстой кишки не выявлено.</w:t>
      </w:r>
    </w:p>
    <w:p>
      <w:pPr>
        <w:pStyle w:val="Heading3"/>
      </w:pPr>
      <w:r>
        <w:t>5.4. Водородный дыхательный тест с лактулозой</w:t>
      </w:r>
    </w:p>
    <w:p>
      <w:pPr>
        <w:spacing w:after="58"/>
      </w:pPr>
      <w:r>
        <w:rPr>
          <w:b w:val="0"/>
          <w:i w:val="0"/>
        </w:rPr>
        <w:t>*Заключение:* избыточный бактериальный рост выявлен.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Данной пациентке на основании жалоб, данных анамнеза, физикального, лабораторного и инструментального методов обследования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Синдром раздраженного кишечника, смешанный вариант.</w:t>
        <w:br/>
        <w:br/>
        <w:t>Функциональная диспепсия, постпрандиальный дистресс синдром.</w:t>
        <w:br/>
        <w:br/>
        <w:t>Синдром избыточного бактериального роста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Синдром раздраженного кишечника, вариант с преобладанием диареи.</w:t>
        <w:br/>
        <w:br/>
        <w:t>Функциональная диспепсия, синдром боли в эпигастрии.</w:t>
        <w:br/>
        <w:br/>
        <w:t>Синдром избыточного бактериального роста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Синдром раздраженного кишечника, вариант с преобладанием диареи.</w:t>
        <w:br/>
        <w:br/>
        <w:t>Синдром избыточного бактериального роста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Синдром раздраженного кишечника, вариант с преобладанием диареи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Синдром раздраженного кишечника, вариант с преобладанием диареи.</w:t>
        <w:br/>
        <w:br/>
        <w:t>Функциональная диспепсия, синдром боли в эпигастрии.</w:t>
        <w:br/>
        <w:br/>
        <w:t>Синдром избыточного бактериального роста</w:t>
      </w:r>
    </w:p>
    <w:p>
      <w:pPr>
        <w:ind w:left="504"/>
      </w:pPr>
      <w:r>
        <w:rPr>
          <w:b w:val="0"/>
          <w:i/>
        </w:rPr>
        <w:t>СРК с диареей (СРК-Д): более чем в 25% дефекаций форма кала соответствует типам 6–7 по Бристольской шкале, менее чем в 25% — типам 1–2. Альтернативный вариант постановки диагноза данного варианта заболевания: пациент сообщает, что у него наблюдается преимущественно диарея (типы 6–7 по Бристольской шкале).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1.5 «Классификация».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О синдроме болей в эпигастрии принято говорить в тех случаях, когда у больного по меньшей мере 1 раз в неделю отмечаются умеренные или выраженные боли либо чувство жжения в эпигастральной области. При этом боли могут возникать после приема пищи, исчезать после приема пищи или возникать натощак, не локализуются в других отделах живота, не уменьшаются после дефекации и не сопровождаются признаками дисфункции желчного пузыря или сфинктера Одди.</w:t>
        <w:br/>
        <w:br/>
        <w:t>Раздел «Классификация».</w:t>
        <w:br/>
        <w:br/>
      </w:r>
      <w:hyperlink r:id="rId17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Синдром раздраженного кишечника, вариант с преобладанием диареи.</w:t>
        <w:br/>
        <w:br/>
        <w:t>Функциональная диспепсия, синдром боли в эпигастрии.</w:t>
        <w:br/>
        <w:br/>
        <w:t>Синдром избыточного бактериального роста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Вздутие живота при синдроме раздраженного кишечника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возникает только после приема продуктов, содержащих глютен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возникает независимо от времени суток, в том числе ночью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менее выражено в утренние часы, нарастает в течение дня, усиливается после еды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продолжается в течение всего дня с равномерной интенсивностью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менее выражено в утренние часы, нарастает в течение дня, усиливается после еды</w:t>
      </w:r>
    </w:p>
    <w:p>
      <w:pPr>
        <w:ind w:left="504"/>
      </w:pPr>
      <w:r>
        <w:rPr>
          <w:b w:val="0"/>
          <w:i/>
        </w:rPr>
        <w:t>Ощущение вздутия живота менее выражено в утренние часы, нарастает в течение дня, усиливается после приёма пищи.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2.1 «Жалобы и анамнез».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Предъявляемые пациенткой жалобы характерны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синдрома раздраженного кишечника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воспалительного заболевания кишечника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целиакии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синдрома раздраженного кишечника в сочетании с функциональной диспепсией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синдрома раздраженного кишечника в сочетании с функциональной диспепсией</w:t>
      </w:r>
    </w:p>
    <w:p>
      <w:pPr>
        <w:ind w:left="504"/>
      </w:pPr>
      <w:r>
        <w:rPr>
          <w:b w:val="0"/>
          <w:i/>
        </w:rPr>
        <w:t>Синдром раздраженного кишечника (СРК) — функциональное расстройство кишечника, проявляющееся рецидивирующей болью в животе, возникающей по меньшей мере 1 раз в неделю, которая характеризуется следующими признаками (двумя или более): связана с дефекацией, сочетается с изменением ее частоты и/или формы кала. Эти симптомы должны отмечаться у больного в последние 3 мес при общей продолжительности наблюдения не менее 6 мес.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1.1 «Определение».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О синдроме болей в эпигастрии принято говорить в тех случаях, когда у больного по меньшей мере 1 раз в неделю отмечаются умеренные или выраженные боли либо чувство жжения в эпигастральной области. При этом боли могут возникать после приема пищи, исчезать после приема пищи или возникать натощак, не локализуются в других отделах живота, не уменьшаются после дефекации и не сопровождаются признаками дисфункции желчного пузыря или сфинктера Одди.</w:t>
        <w:br/>
        <w:br/>
        <w:t>Клинические рекомендации Российской гастроэнтерологической ассоциации по диагностике и лечению функциональной диспепсии, 2016 г., раздел «Классификация».</w:t>
        <w:br/>
        <w:br/>
      </w:r>
      <w:hyperlink r:id="rId20">
        <w:r>
          <w:rPr>
            <w:color w:val="0F766E"/>
            <w:u w:val="single"/>
          </w:rPr>
          <w:t>Клинические рекомендации Российской гастроэнтерологической ассоциации по диагностике и лечению функциональной диспепсии, 2016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Диагнозу функционального заболевания ЖКТ на первом этапе диагностического поиска не вполне соответствует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изменение в статусе (ослабление перистальтики при аускультации, тимпанит при перкуссии)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пол и возраст пациентки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длительное волнообразное течение заболевания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отсутствие эффекта от назначения обволакивающих препаратов и ферментов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изменение в статусе (ослабление перистальтики при аускультации, тимпанит при перкуссии)</w:t>
      </w:r>
    </w:p>
    <w:p>
      <w:pPr>
        <w:ind w:left="504"/>
      </w:pPr>
      <w:r>
        <w:rPr>
          <w:b w:val="0"/>
          <w:i/>
        </w:rPr>
        <w:t>Приведенные ниже симптомы могут быть проявлением органической патологии и должны служить показанием к углубленному обследованию. Симптомы, выявленные при непосредственном обследовании: лихорадка, изменения со стороны внутренних органов (гепатомегалия, спленомегалия и др.).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«Симптомы тревоги».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связи с выявленным синдромом избыточного бактериального роста в схему лечения следует добавить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линкомицин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клиритромицин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рифаксимин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амоксициллин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рифаксимин</w:t>
      </w:r>
    </w:p>
    <w:p>
      <w:pPr>
        <w:ind w:left="504"/>
      </w:pPr>
      <w:r>
        <w:rPr>
          <w:b w:val="0"/>
          <w:i/>
        </w:rPr>
        <w:t>Согласно результатам мета-анализа, включавшего 18 плацебоконтролируемых РКИ, в которых приняли участие 1803 пациента с СРК-Д, невсасывающийся антибиотик рифаксимин при коротком курсе терапии достаточно эффективно купировал диарею, а также способствовал уменьшению вздутия живота у больных, при этом показатель NNТ оказался равным 10,2. Рифаксимин может быть рекомендован для лечения больных с СРК.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3.1.3 «Препараты для купирования диареи».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схему лечения данной пациентки не показано включение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ферментов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ингибиторов секреции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регуляторов моторики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рифаксимина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ферментов</w:t>
      </w:r>
    </w:p>
    <w:p>
      <w:pPr>
        <w:ind w:left="504"/>
      </w:pPr>
      <w:r>
        <w:rPr>
          <w:b w:val="0"/>
          <w:i/>
        </w:rPr>
        <w:t>Лечение больных с СРК комплексное. В настоящее время с позиций медицины, основанной на доказательствах, в лечении пациентов с СРК подтверждена эффективность препаратов, нормализующих моторику кишечника, влияющих на висцеральную чувствительность или воздействующих на оба механизма.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3.1 «Консервативное лечение».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Выбор лекарственных препаратов определяется клиническим вариантом функциональной диспепсии. При синдроме болей в эпигастрии целесообразно назначить антисекреторные препараты, прежде всего ИПП, в стандартных дозах.</w:t>
        <w:br/>
        <w:br/>
        <w:t>Клинические рекомендации Российской гастроэнтерологической ассоциации по диагностике и лечению функциональной диспепсии, 2016 г., раздел «Алгоритм ведения больных с синдромом диспепсии».</w:t>
        <w:br/>
        <w:br/>
      </w:r>
      <w:hyperlink r:id="rId20">
        <w:r>
          <w:rPr>
            <w:color w:val="0F766E"/>
            <w:u w:val="single"/>
          </w:rPr>
          <w:t>Клинические рекомендации Российской гастроэнтерологической ассоциации по диагностике и лечению функциональной диспепсии, 2016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Пациентам с синдромом раздраженного кишечника показана диета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общая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высокобелковая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 механическим и химическим щажением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элиминационная или аглютеновая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элиминационная или аглютеновая</w:t>
      </w:r>
    </w:p>
    <w:p>
      <w:pPr>
        <w:ind w:left="504"/>
      </w:pPr>
      <w:r>
        <w:rPr>
          <w:b w:val="0"/>
          <w:i/>
        </w:rPr>
        <w:t>Диету больным с СРК подбирают индивидуально путем исключения продуктов, вызывающих увеличение выраженности симптомов заболевания (элиминационная диета). Несмотря на противоречивые результаты исследований по оценке эффекта от конкретной диеты, всем пациентам с СРК следует рекомендовать:</w:t>
        <w:br/>
        <w:br/>
        <w:t>*  принимать пищу регулярно в специально отведенное для этого время, избегать приема пищи в спешке, в процессе работы;</w:t>
        <w:br/>
        <w:br/>
        <w:t>*  не пропускать приемы пищи и не допускать длительные перерывы между ними;</w:t>
        <w:br/>
        <w:br/>
        <w:t>*  при вариантах СРК-Д и СРК-М возможно назначение аглютеновой диеты, а также диеты с низким содержанием олигоди- и олигомоносахаридов (лактозы, фруктозы, фруктанов, галактанов) и полиолов (сорбитола, ксилитола, маннитола).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3.1.1 «Диета и образ жизни».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Микроскопический колит более вероятен, чем синдром раздраженного кишечника, если наблюдается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выраженный синдром мальабсорбции у детей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усиление перистальтики у лиц любого возарста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изолированная абдоминальная боль у лиц среднего возраста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изолированная хроническая диарея без болевого синдрома у лиц старшего возраста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изолированная хроническая диарея без болевого синдрома у лиц старшего возраста</w:t>
      </w:r>
    </w:p>
    <w:p>
      <w:pPr>
        <w:ind w:left="504"/>
      </w:pPr>
      <w:r>
        <w:rPr>
          <w:b w:val="0"/>
          <w:i/>
        </w:rPr>
        <w:t>Дифференциальную диагностику СРК проводят в том числе с лимфоцитарным или коллагенозным колитами (микроскопические колиты), которые, как правило, протекают без боли и служат причиной хронической диареи у 23–30% лиц старшего возраста. Для подтверждения диагноза необходимо выполнить колоноскопию с биопсией слизистой оболочки ободочной кишки.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2.2 «Иная диагностика».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Заболеванием, с которым чаще всего сочетается синдром раздраженного кишечника,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функциональная диспепсия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тревожное расстройство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депрессивное расстройство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гастроэзофагеальная рефлюксная болезнь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функциональная диспепсия</w:t>
      </w:r>
    </w:p>
    <w:p>
      <w:pPr>
        <w:ind w:left="504"/>
      </w:pPr>
      <w:r>
        <w:rPr>
          <w:b w:val="0"/>
          <w:i/>
        </w:rPr>
        <w:t>Достаточно часто, у 15–44,6% больных, СРК сочетается с синдромом функциональной диспепсии (СФД).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1.2 «Этиология и патогенез».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целях реабилитации пациентам с синдромом раздраженного кишечника рекомендуется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лечебная физкультура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рефлексотерапия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психотерапия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санатроно-курортное лечение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психотерапия</w:t>
      </w:r>
    </w:p>
    <w:p>
      <w:pPr>
        <w:ind w:left="504"/>
      </w:pPr>
      <w:r>
        <w:rPr>
          <w:b w:val="0"/>
          <w:i/>
        </w:rPr>
        <w:t>Специфические меры реабилитации пациентов с СРК отсутствуют. Поскольку СРК — хроническое, длительно протекающее заболевание, ассоциированное с рядом психоэмоциональных расстройств, при лечении большинства больных требуется применение психотерапевтических методов.</w:t>
        <w:br/>
        <w:br/>
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г., раздел 4 «Реабилитация».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гастроэнтерологической ассоциации и Ассоциации колопроктологов России по диагностике и лечению синдрома раздраженного кишечника, 2016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R_SRK2017/" TargetMode="External"/><Relationship Id="rId10" Type="http://schemas.openxmlformats.org/officeDocument/2006/relationships/hyperlink" Target="https://library.mededtech.ru/rest/documents/R_SRK2017/#paragraph_j4pe34" TargetMode="External"/><Relationship Id="rId11" Type="http://schemas.openxmlformats.org/officeDocument/2006/relationships/hyperlink" Target="https://library.mededtech.ru/rest/documents/R_SRK2017/#paragraph_308m5d" TargetMode="External"/><Relationship Id="rId12" Type="http://schemas.openxmlformats.org/officeDocument/2006/relationships/hyperlink" Target="https://library.mededtech.ru/rest/documents/R_SRK2017/#list_item_qgd2d2" TargetMode="External"/><Relationship Id="rId13" Type="http://schemas.openxmlformats.org/officeDocument/2006/relationships/hyperlink" Target="https://library.mededtech.ru/rest/documents/R_SRK2017/#list_item_a4om9o" TargetMode="External"/><Relationship Id="rId14" Type="http://schemas.openxmlformats.org/officeDocument/2006/relationships/hyperlink" Target="https://library.mededtech.ru/rest/documents/R_SRK2017/#list_item_10q435" TargetMode="External"/><Relationship Id="rId15" Type="http://schemas.openxmlformats.org/officeDocument/2006/relationships/hyperlink" Target="https://library.mededtech.ru/rest/documents/R_SRK2017/#list_item_7t3nbh" TargetMode="External"/><Relationship Id="rId16" Type="http://schemas.openxmlformats.org/officeDocument/2006/relationships/hyperlink" Target="https://library.mededtech.ru/rest/documents/R_SRK2017/#list_item_lnmbqk" TargetMode="External"/><Relationship Id="rId17" Type="http://schemas.openxmlformats.org/officeDocument/2006/relationships/hyperlink" Target="https://library.mededtech.ru/rest/documents/R_FD20169/#paragraph_p78oj" TargetMode="External"/><Relationship Id="rId18" Type="http://schemas.openxmlformats.org/officeDocument/2006/relationships/hyperlink" Target="https://library.mededtech.ru/rest/documents/R_SRK2017/#list_item_iamuop" TargetMode="External"/><Relationship Id="rId19" Type="http://schemas.openxmlformats.org/officeDocument/2006/relationships/hyperlink" Target="https://library.mededtech.ru/rest/documents/R_SRK2017/#paragraph_0jf2ol" TargetMode="External"/><Relationship Id="rId20" Type="http://schemas.openxmlformats.org/officeDocument/2006/relationships/hyperlink" Target="https://library.mededtech.ru/rest/documents/R_FD20169/" TargetMode="External"/><Relationship Id="rId21" Type="http://schemas.openxmlformats.org/officeDocument/2006/relationships/hyperlink" Target="https://library.mededtech.ru/rest/documents/R_SRK2017/#paragraph_b2783t" TargetMode="External"/><Relationship Id="rId22" Type="http://schemas.openxmlformats.org/officeDocument/2006/relationships/hyperlink" Target="https://library.mededtech.ru/rest/documents/R_SRK2017/#paragraph_jve3b1" TargetMode="External"/><Relationship Id="rId23" Type="http://schemas.openxmlformats.org/officeDocument/2006/relationships/hyperlink" Target="https://library.mededtech.ru/rest/documents/R_SRK2017/#paragraph_1h1nv4" TargetMode="External"/><Relationship Id="rId24" Type="http://schemas.openxmlformats.org/officeDocument/2006/relationships/hyperlink" Target="https://library.mededtech.ru/rest/documents/R_FD20169/#image_hbck4" TargetMode="External"/><Relationship Id="rId25" Type="http://schemas.openxmlformats.org/officeDocument/2006/relationships/hyperlink" Target="https://library.mededtech.ru/rest/documents/R_SRK2017/#paragraph_658693" TargetMode="External"/><Relationship Id="rId26" Type="http://schemas.openxmlformats.org/officeDocument/2006/relationships/hyperlink" Target="https://library.mededtech.ru/rest/documents/R_SRK2017/#list_item_1k407i" TargetMode="External"/><Relationship Id="rId27" Type="http://schemas.openxmlformats.org/officeDocument/2006/relationships/hyperlink" Target="https://library.mededtech.ru/rest/documents/R_SRK2017/#paragraph_sp0ek8" TargetMode="External"/><Relationship Id="rId28" Type="http://schemas.openxmlformats.org/officeDocument/2006/relationships/hyperlink" Target="https://library.mededtech.ru/rest/documents/R_SRK2017/#paragraph_sr0vc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